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6"/>
        <w:gridCol w:w="1867"/>
        <w:gridCol w:w="4983"/>
      </w:tblGrid>
      <w:tr w:rsidR="001B1D8D" w:rsidRPr="00567BB0" w:rsidTr="0003646E">
        <w:trPr>
          <w:trHeight w:val="551"/>
        </w:trPr>
        <w:tc>
          <w:tcPr>
            <w:tcW w:w="10266" w:type="dxa"/>
            <w:gridSpan w:val="3"/>
          </w:tcPr>
          <w:p w:rsidR="001B1D8D" w:rsidRPr="00B72E05" w:rsidRDefault="009D22A3" w:rsidP="009B548E">
            <w:pPr>
              <w:spacing w:after="0" w:line="240" w:lineRule="auto"/>
              <w:rPr>
                <w:lang w:val="es-ES"/>
              </w:rPr>
            </w:pPr>
            <w:r w:rsidRPr="001B1D8D">
              <w:rPr>
                <w:rFonts w:ascii="Arial" w:eastAsia="Times New Roman" w:hAnsi="Arial" w:cs="Times New Roman"/>
                <w:noProof/>
                <w:sz w:val="24"/>
                <w:szCs w:val="20"/>
                <w:lang w:eastAsia="es-CL"/>
              </w:rPr>
              <w:drawing>
                <wp:anchor distT="0" distB="0" distL="114300" distR="114300" simplePos="0" relativeHeight="251657216" behindDoc="1" locked="0" layoutInCell="1" allowOverlap="1" wp14:anchorId="5AE2DB0D" wp14:editId="4BFA6C6C">
                  <wp:simplePos x="0" y="0"/>
                  <wp:positionH relativeFrom="margin">
                    <wp:posOffset>3759835</wp:posOffset>
                  </wp:positionH>
                  <wp:positionV relativeFrom="paragraph">
                    <wp:posOffset>141605</wp:posOffset>
                  </wp:positionV>
                  <wp:extent cx="2667000" cy="1181100"/>
                  <wp:effectExtent l="0" t="0" r="0" b="0"/>
                  <wp:wrapNone/>
                  <wp:docPr id="1" name="Imagen 1"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D8D" w:rsidRPr="001B1D8D" w:rsidRDefault="001B1D8D" w:rsidP="001B1D8D">
            <w:pPr>
              <w:spacing w:after="0" w:line="240" w:lineRule="auto"/>
              <w:rPr>
                <w:rFonts w:ascii="Arial" w:eastAsia="Times New Roman" w:hAnsi="Arial" w:cs="Times New Roman"/>
                <w:sz w:val="24"/>
                <w:szCs w:val="20"/>
                <w:lang w:val="es-MX" w:eastAsia="es-CL"/>
              </w:rPr>
            </w:pPr>
          </w:p>
          <w:p w:rsidR="001B1D8D" w:rsidRPr="001B1D8D" w:rsidRDefault="009D22A3" w:rsidP="001B1D8D">
            <w:pPr>
              <w:spacing w:after="0" w:line="240" w:lineRule="auto"/>
              <w:rPr>
                <w:rFonts w:ascii="Arial" w:eastAsia="Times New Roman" w:hAnsi="Arial" w:cs="Times New Roman"/>
                <w:sz w:val="24"/>
                <w:szCs w:val="20"/>
                <w:lang w:val="es-ES" w:eastAsia="es-CL"/>
              </w:rPr>
            </w:pPr>
            <w:r>
              <w:rPr>
                <w:rFonts w:ascii="Arial" w:eastAsia="Times New Roman" w:hAnsi="Arial" w:cs="Times New Roman"/>
                <w:noProof/>
                <w:sz w:val="24"/>
                <w:szCs w:val="20"/>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61008771" r:id="rId7"/>
              </w:object>
            </w:r>
            <w:r w:rsidR="001B1D8D" w:rsidRPr="001B1D8D">
              <w:rPr>
                <w:rFonts w:ascii="Arial" w:eastAsia="Times New Roman" w:hAnsi="Arial" w:cs="Times New Roman"/>
                <w:sz w:val="24"/>
                <w:szCs w:val="20"/>
                <w:lang w:val="es-ES" w:eastAsia="es-CL"/>
              </w:rPr>
              <w:t xml:space="preserve">                                Liceo José Victorino Lastarria</w:t>
            </w:r>
          </w:p>
          <w:p w:rsidR="001B1D8D" w:rsidRPr="001B1D8D" w:rsidRDefault="001B1D8D" w:rsidP="001B1D8D">
            <w:pPr>
              <w:spacing w:after="0" w:line="240" w:lineRule="auto"/>
              <w:rPr>
                <w:rFonts w:ascii="Arial" w:eastAsia="Times New Roman" w:hAnsi="Arial" w:cs="Times New Roman"/>
                <w:sz w:val="24"/>
                <w:szCs w:val="20"/>
                <w:lang w:val="es-ES" w:eastAsia="es-CL"/>
              </w:rPr>
            </w:pPr>
            <w:r w:rsidRPr="001B1D8D">
              <w:rPr>
                <w:rFonts w:ascii="Arial" w:eastAsia="Times New Roman" w:hAnsi="Arial" w:cs="Times New Roman"/>
                <w:sz w:val="24"/>
                <w:szCs w:val="20"/>
                <w:lang w:val="es-ES" w:eastAsia="es-CL"/>
              </w:rPr>
              <w:t xml:space="preserve">                                                 Rancagua</w:t>
            </w:r>
          </w:p>
          <w:p w:rsidR="009D22A3" w:rsidRDefault="001B1D8D" w:rsidP="009D22A3">
            <w:pPr>
              <w:spacing w:after="0" w:line="240" w:lineRule="auto"/>
              <w:rPr>
                <w:rFonts w:ascii="Arial" w:eastAsia="Times New Roman" w:hAnsi="Arial" w:cs="Times New Roman"/>
                <w:i/>
                <w:sz w:val="24"/>
                <w:szCs w:val="20"/>
                <w:lang w:val="es-ES" w:eastAsia="es-CL"/>
              </w:rPr>
            </w:pPr>
            <w:r w:rsidRPr="001B1D8D">
              <w:rPr>
                <w:rFonts w:ascii="Arial" w:eastAsia="Times New Roman" w:hAnsi="Arial" w:cs="Times New Roman"/>
                <w:sz w:val="24"/>
                <w:szCs w:val="20"/>
                <w:lang w:val="es-ES" w:eastAsia="es-CL"/>
              </w:rPr>
              <w:t xml:space="preserve">                           “</w:t>
            </w:r>
            <w:r w:rsidRPr="001B1D8D">
              <w:rPr>
                <w:rFonts w:ascii="Arial" w:eastAsia="Times New Roman" w:hAnsi="Arial" w:cs="Times New Roman"/>
                <w:i/>
                <w:sz w:val="24"/>
                <w:szCs w:val="20"/>
                <w:lang w:val="es-ES" w:eastAsia="es-CL"/>
              </w:rPr>
              <w:t>Formando Técnicos</w:t>
            </w:r>
            <w:r w:rsidR="009D22A3">
              <w:rPr>
                <w:rFonts w:ascii="Arial" w:eastAsia="Times New Roman" w:hAnsi="Arial" w:cs="Times New Roman"/>
                <w:i/>
                <w:sz w:val="24"/>
                <w:szCs w:val="20"/>
                <w:lang w:val="es-ES" w:eastAsia="es-CL"/>
              </w:rPr>
              <w:t xml:space="preserve"> para el mañana”</w:t>
            </w:r>
            <w:r w:rsidRPr="001B1D8D">
              <w:rPr>
                <w:rFonts w:ascii="Arial" w:eastAsia="Times New Roman" w:hAnsi="Arial" w:cs="Times New Roman"/>
                <w:i/>
                <w:sz w:val="24"/>
                <w:szCs w:val="20"/>
                <w:lang w:val="es-ES" w:eastAsia="es-CL"/>
              </w:rPr>
              <w:t xml:space="preserve"> </w:t>
            </w:r>
          </w:p>
          <w:p w:rsidR="001B1D8D" w:rsidRPr="009D22A3" w:rsidRDefault="009D22A3" w:rsidP="009D22A3">
            <w:pPr>
              <w:spacing w:after="0" w:line="240" w:lineRule="auto"/>
              <w:rPr>
                <w:rFonts w:ascii="Arial" w:eastAsia="Times New Roman" w:hAnsi="Arial" w:cs="Times New Roman"/>
                <w:i/>
                <w:sz w:val="24"/>
                <w:szCs w:val="20"/>
                <w:lang w:val="es-ES" w:eastAsia="es-CL"/>
              </w:rPr>
            </w:pPr>
            <w:r>
              <w:rPr>
                <w:rFonts w:ascii="Arial" w:eastAsia="Times New Roman" w:hAnsi="Arial" w:cs="Times New Roman"/>
                <w:i/>
                <w:sz w:val="24"/>
                <w:szCs w:val="20"/>
                <w:lang w:val="es-ES" w:eastAsia="es-CL"/>
              </w:rPr>
              <w:t xml:space="preserve">                     </w:t>
            </w:r>
            <w:r w:rsidR="001B1D8D" w:rsidRPr="001B1D8D">
              <w:rPr>
                <w:rFonts w:ascii="Arial" w:eastAsia="Times New Roman" w:hAnsi="Arial" w:cs="Times New Roman"/>
                <w:i/>
                <w:sz w:val="24"/>
                <w:szCs w:val="20"/>
                <w:lang w:val="es-ES" w:eastAsia="es-CL"/>
              </w:rPr>
              <w:t xml:space="preserve"> </w:t>
            </w:r>
            <w:r w:rsidR="001B1D8D" w:rsidRPr="001B1D8D">
              <w:rPr>
                <w:rFonts w:ascii="Arial" w:eastAsia="Times New Roman" w:hAnsi="Arial" w:cs="Times New Roman"/>
                <w:sz w:val="24"/>
                <w:szCs w:val="20"/>
                <w:lang w:val="es-ES" w:eastAsia="es-CL"/>
              </w:rPr>
              <w:t>Unidad Técnico-Pedagógica</w:t>
            </w:r>
          </w:p>
          <w:p w:rsidR="009D22A3" w:rsidRDefault="009D22A3" w:rsidP="009B548E">
            <w:pPr>
              <w:jc w:val="center"/>
              <w:rPr>
                <w:rFonts w:ascii="Cambria" w:hAnsi="Cambria"/>
                <w:b/>
              </w:rPr>
            </w:pPr>
          </w:p>
          <w:p w:rsidR="001B1D8D" w:rsidRPr="00567BB0" w:rsidRDefault="001B1D8D" w:rsidP="009B548E">
            <w:pPr>
              <w:jc w:val="center"/>
              <w:rPr>
                <w:rFonts w:ascii="Cambria" w:hAnsi="Cambria"/>
                <w:b/>
              </w:rPr>
            </w:pPr>
            <w:r>
              <w:rPr>
                <w:rFonts w:ascii="Cambria" w:hAnsi="Cambria"/>
                <w:b/>
              </w:rPr>
              <w:t>LENGUA Y LITERATURA</w:t>
            </w:r>
          </w:p>
        </w:tc>
      </w:tr>
      <w:tr w:rsidR="001B1D8D" w:rsidRPr="00567BB0" w:rsidTr="0003646E">
        <w:trPr>
          <w:trHeight w:val="431"/>
        </w:trPr>
        <w:tc>
          <w:tcPr>
            <w:tcW w:w="10266" w:type="dxa"/>
            <w:gridSpan w:val="3"/>
          </w:tcPr>
          <w:p w:rsidR="001B1D8D" w:rsidRPr="00567BB0" w:rsidRDefault="001B1D8D" w:rsidP="009B548E">
            <w:pPr>
              <w:rPr>
                <w:rFonts w:ascii="Cambria" w:hAnsi="Cambria"/>
                <w:b/>
              </w:rPr>
            </w:pPr>
            <w:r w:rsidRPr="00567BB0">
              <w:rPr>
                <w:rFonts w:ascii="Cambria" w:hAnsi="Cambria"/>
                <w:b/>
              </w:rPr>
              <w:t xml:space="preserve">SEMANA (FECHA): </w:t>
            </w:r>
            <w:r>
              <w:rPr>
                <w:rFonts w:ascii="Cambria" w:hAnsi="Cambria"/>
                <w:b/>
              </w:rPr>
              <w:t>7 al 11 de SEP.</w:t>
            </w:r>
            <w:bookmarkStart w:id="0" w:name="_GoBack"/>
            <w:bookmarkEnd w:id="0"/>
          </w:p>
        </w:tc>
      </w:tr>
      <w:tr w:rsidR="001B1D8D" w:rsidRPr="00567BB0" w:rsidTr="009D22A3">
        <w:trPr>
          <w:trHeight w:val="970"/>
        </w:trPr>
        <w:tc>
          <w:tcPr>
            <w:tcW w:w="5283" w:type="dxa"/>
            <w:gridSpan w:val="2"/>
          </w:tcPr>
          <w:p w:rsidR="001B1D8D" w:rsidRPr="00297B11" w:rsidRDefault="001B1D8D" w:rsidP="009B548E">
            <w:pPr>
              <w:autoSpaceDE w:val="0"/>
              <w:autoSpaceDN w:val="0"/>
              <w:adjustRightInd w:val="0"/>
              <w:spacing w:after="0" w:line="240" w:lineRule="auto"/>
              <w:rPr>
                <w:rFonts w:ascii="OfficinaSans-Bold" w:hAnsi="OfficinaSans-Bold" w:cs="OfficinaSans-Bold"/>
                <w:b/>
                <w:bCs/>
                <w:sz w:val="24"/>
                <w:szCs w:val="24"/>
              </w:rPr>
            </w:pPr>
            <w:r w:rsidRPr="00567BB0">
              <w:rPr>
                <w:rFonts w:ascii="Cambria" w:hAnsi="Cambria"/>
                <w:b/>
              </w:rPr>
              <w:t xml:space="preserve">OA: </w:t>
            </w:r>
            <w:r w:rsidRPr="00297B11">
              <w:rPr>
                <w:rFonts w:ascii="OfficinaSans-Bold" w:hAnsi="OfficinaSans-Bold" w:cs="OfficinaSans-Bold"/>
                <w:b/>
                <w:bCs/>
                <w:sz w:val="20"/>
                <w:szCs w:val="20"/>
              </w:rPr>
              <w:t xml:space="preserve"> </w:t>
            </w:r>
            <w:r w:rsidRPr="00297B11">
              <w:rPr>
                <w:rFonts w:ascii="OfficinaSans-Bold" w:hAnsi="OfficinaSans-Bold" w:cs="OfficinaSans-Bold"/>
                <w:b/>
                <w:bCs/>
                <w:sz w:val="24"/>
                <w:szCs w:val="24"/>
              </w:rPr>
              <w:t>1</w:t>
            </w:r>
            <w:r>
              <w:rPr>
                <w:rFonts w:ascii="OfficinaSans-Bold" w:hAnsi="OfficinaSans-Bold" w:cs="OfficinaSans-Bold"/>
                <w:b/>
                <w:bCs/>
                <w:sz w:val="24"/>
                <w:szCs w:val="24"/>
              </w:rPr>
              <w:t>0</w:t>
            </w:r>
          </w:p>
          <w:p w:rsidR="001B1D8D" w:rsidRPr="000812A2" w:rsidRDefault="001B1D8D" w:rsidP="009B548E">
            <w:pPr>
              <w:tabs>
                <w:tab w:val="left" w:pos="1350"/>
              </w:tabs>
              <w:autoSpaceDE w:val="0"/>
              <w:autoSpaceDN w:val="0"/>
              <w:adjustRightInd w:val="0"/>
              <w:spacing w:after="0" w:line="240" w:lineRule="auto"/>
              <w:rPr>
                <w:sz w:val="24"/>
                <w:szCs w:val="24"/>
              </w:rPr>
            </w:pPr>
            <w:r w:rsidRPr="000812A2">
              <w:rPr>
                <w:sz w:val="23"/>
                <w:szCs w:val="23"/>
              </w:rPr>
              <w:t xml:space="preserve"> </w:t>
            </w:r>
            <w:r w:rsidRPr="000812A2">
              <w:rPr>
                <w:sz w:val="24"/>
                <w:szCs w:val="24"/>
              </w:rPr>
              <w:t>Analizar y evaluar textos de los medios de comunicación, como noticias, reportajes, cartas al director, propaganda o crónicas, considerando:</w:t>
            </w:r>
          </w:p>
          <w:p w:rsidR="001B1D8D" w:rsidRPr="00567BB0" w:rsidRDefault="001B1D8D" w:rsidP="009B548E">
            <w:pPr>
              <w:rPr>
                <w:rFonts w:ascii="Cambria" w:hAnsi="Cambria"/>
                <w:b/>
              </w:rPr>
            </w:pPr>
            <w:r w:rsidRPr="000812A2">
              <w:t>Los efectos causados por recursos no lingüísticos</w:t>
            </w:r>
          </w:p>
        </w:tc>
        <w:tc>
          <w:tcPr>
            <w:tcW w:w="4983" w:type="dxa"/>
          </w:tcPr>
          <w:p w:rsidR="001B1D8D" w:rsidRDefault="001B1D8D" w:rsidP="009B548E">
            <w:pPr>
              <w:rPr>
                <w:rFonts w:ascii="Cambria" w:hAnsi="Cambria"/>
                <w:b/>
              </w:rPr>
            </w:pPr>
            <w:r w:rsidRPr="00567BB0">
              <w:rPr>
                <w:rFonts w:ascii="Cambria" w:hAnsi="Cambria"/>
                <w:b/>
              </w:rPr>
              <w:t xml:space="preserve">OBJETIVO DE LA CLASE: </w:t>
            </w:r>
          </w:p>
          <w:p w:rsidR="001B1D8D" w:rsidRPr="00567BB0" w:rsidRDefault="001B1D8D" w:rsidP="009B548E">
            <w:pPr>
              <w:rPr>
                <w:rFonts w:ascii="Cambria" w:hAnsi="Cambria"/>
                <w:b/>
              </w:rPr>
            </w:pPr>
            <w:r>
              <w:rPr>
                <w:rFonts w:ascii="Cambria" w:hAnsi="Cambria"/>
                <w:b/>
              </w:rPr>
              <w:t>Identificar la técnica y propósito de una noticia</w:t>
            </w:r>
          </w:p>
        </w:tc>
      </w:tr>
      <w:tr w:rsidR="001B1D8D" w:rsidRPr="00567BB0" w:rsidTr="0003646E">
        <w:trPr>
          <w:trHeight w:val="420"/>
        </w:trPr>
        <w:tc>
          <w:tcPr>
            <w:tcW w:w="3416" w:type="dxa"/>
          </w:tcPr>
          <w:p w:rsidR="001B1D8D" w:rsidRPr="00567BB0" w:rsidRDefault="001B1D8D" w:rsidP="009B548E">
            <w:pPr>
              <w:rPr>
                <w:rFonts w:ascii="Cambria" w:hAnsi="Cambria"/>
                <w:b/>
              </w:rPr>
            </w:pPr>
            <w:r w:rsidRPr="00567BB0">
              <w:rPr>
                <w:rFonts w:ascii="Cambria" w:hAnsi="Cambria"/>
                <w:b/>
              </w:rPr>
              <w:t>NOMBRE ESTUDIANTE</w:t>
            </w:r>
          </w:p>
        </w:tc>
        <w:tc>
          <w:tcPr>
            <w:tcW w:w="6850" w:type="dxa"/>
            <w:gridSpan w:val="2"/>
          </w:tcPr>
          <w:p w:rsidR="001B1D8D" w:rsidRPr="00567BB0" w:rsidRDefault="001B1D8D" w:rsidP="009B548E">
            <w:pPr>
              <w:rPr>
                <w:rFonts w:ascii="Cambria" w:hAnsi="Cambria"/>
                <w:b/>
              </w:rPr>
            </w:pPr>
            <w:r>
              <w:rPr>
                <w:rFonts w:ascii="Cambria" w:hAnsi="Cambria"/>
                <w:b/>
              </w:rPr>
              <w:t>Todos los alumnos del PIE de 2° Año A,B,C,D,E</w:t>
            </w:r>
          </w:p>
        </w:tc>
      </w:tr>
      <w:tr w:rsidR="001B1D8D" w:rsidRPr="00567BB0" w:rsidTr="0003646E">
        <w:trPr>
          <w:trHeight w:val="431"/>
        </w:trPr>
        <w:tc>
          <w:tcPr>
            <w:tcW w:w="3416" w:type="dxa"/>
          </w:tcPr>
          <w:p w:rsidR="001B1D8D" w:rsidRPr="00567BB0" w:rsidRDefault="001B1D8D" w:rsidP="009B548E">
            <w:pPr>
              <w:rPr>
                <w:rFonts w:ascii="Cambria" w:hAnsi="Cambria"/>
                <w:b/>
              </w:rPr>
            </w:pPr>
            <w:r w:rsidRPr="00567BB0">
              <w:rPr>
                <w:rFonts w:ascii="Cambria" w:hAnsi="Cambria"/>
                <w:b/>
              </w:rPr>
              <w:t xml:space="preserve">DOCENTE </w:t>
            </w:r>
          </w:p>
        </w:tc>
        <w:tc>
          <w:tcPr>
            <w:tcW w:w="6850" w:type="dxa"/>
            <w:gridSpan w:val="2"/>
          </w:tcPr>
          <w:p w:rsidR="001B1D8D" w:rsidRPr="00567BB0" w:rsidRDefault="001B1D8D" w:rsidP="009B548E">
            <w:pPr>
              <w:rPr>
                <w:rFonts w:ascii="Cambria" w:hAnsi="Cambria"/>
                <w:b/>
              </w:rPr>
            </w:pPr>
            <w:r>
              <w:rPr>
                <w:rFonts w:ascii="Cambria" w:hAnsi="Cambria"/>
                <w:b/>
              </w:rPr>
              <w:t>MARIA EUGENIA MARTINEZ</w:t>
            </w:r>
          </w:p>
        </w:tc>
      </w:tr>
      <w:tr w:rsidR="001B1D8D" w:rsidRPr="00567BB0" w:rsidTr="0003646E">
        <w:trPr>
          <w:trHeight w:val="481"/>
        </w:trPr>
        <w:tc>
          <w:tcPr>
            <w:tcW w:w="3416" w:type="dxa"/>
          </w:tcPr>
          <w:p w:rsidR="001B1D8D" w:rsidRPr="00567BB0" w:rsidRDefault="001B1D8D" w:rsidP="009B548E">
            <w:pPr>
              <w:rPr>
                <w:rFonts w:ascii="Cambria" w:hAnsi="Cambria"/>
                <w:b/>
              </w:rPr>
            </w:pPr>
            <w:r w:rsidRPr="00567BB0">
              <w:rPr>
                <w:rFonts w:ascii="Cambria" w:hAnsi="Cambria"/>
                <w:b/>
              </w:rPr>
              <w:t>CORREO DOCENTE</w:t>
            </w:r>
          </w:p>
        </w:tc>
        <w:tc>
          <w:tcPr>
            <w:tcW w:w="6850" w:type="dxa"/>
            <w:gridSpan w:val="2"/>
          </w:tcPr>
          <w:p w:rsidR="001B1D8D" w:rsidRDefault="009D22A3" w:rsidP="009B548E">
            <w:pPr>
              <w:rPr>
                <w:rFonts w:ascii="Cambria" w:hAnsi="Cambria"/>
                <w:b/>
              </w:rPr>
            </w:pPr>
            <w:hyperlink r:id="rId8" w:history="1">
              <w:r w:rsidRPr="009D22A3">
                <w:rPr>
                  <w:rStyle w:val="Hipervnculo"/>
                  <w:b/>
                </w:rPr>
                <w:t>m</w:t>
              </w:r>
              <w:r w:rsidRPr="00FA2EDC">
                <w:rPr>
                  <w:rStyle w:val="Hipervnculo"/>
                  <w:rFonts w:ascii="Cambria" w:hAnsi="Cambria"/>
                  <w:b/>
                </w:rPr>
                <w:t>aría.martinez@liceo-victorinolastarria.cl</w:t>
              </w:r>
            </w:hyperlink>
          </w:p>
          <w:p w:rsidR="001B1D8D" w:rsidRPr="00567BB0" w:rsidRDefault="009D22A3" w:rsidP="009B548E">
            <w:pPr>
              <w:rPr>
                <w:rFonts w:ascii="Cambria" w:hAnsi="Cambria"/>
                <w:b/>
              </w:rPr>
            </w:pPr>
            <w:r>
              <w:rPr>
                <w:rFonts w:ascii="Cambria" w:hAnsi="Cambria"/>
                <w:b/>
              </w:rPr>
              <w:t>g</w:t>
            </w:r>
            <w:r w:rsidR="001B1D8D">
              <w:rPr>
                <w:rFonts w:ascii="Cambria" w:hAnsi="Cambria"/>
                <w:b/>
              </w:rPr>
              <w:t>ladys.ariza@liceo-victorinolastarria.cl</w:t>
            </w:r>
          </w:p>
        </w:tc>
      </w:tr>
    </w:tbl>
    <w:p w:rsidR="001B1D8D" w:rsidRDefault="001B1D8D" w:rsidP="001B1D8D">
      <w:pPr>
        <w:rPr>
          <w:b/>
        </w:rPr>
      </w:pPr>
    </w:p>
    <w:tbl>
      <w:tblPr>
        <w:tblStyle w:val="Tablaconcuadrcula"/>
        <w:tblW w:w="10392" w:type="dxa"/>
        <w:tblInd w:w="-572" w:type="dxa"/>
        <w:tblLook w:val="04A0" w:firstRow="1" w:lastRow="0" w:firstColumn="1" w:lastColumn="0" w:noHBand="0" w:noVBand="1"/>
      </w:tblPr>
      <w:tblGrid>
        <w:gridCol w:w="10392"/>
      </w:tblGrid>
      <w:tr w:rsidR="001B1D8D" w:rsidTr="001B1D8D">
        <w:trPr>
          <w:trHeight w:val="459"/>
        </w:trPr>
        <w:tc>
          <w:tcPr>
            <w:tcW w:w="10392" w:type="dxa"/>
          </w:tcPr>
          <w:p w:rsidR="001B1D8D" w:rsidRDefault="001B1D8D" w:rsidP="009B548E">
            <w:pPr>
              <w:rPr>
                <w:b/>
              </w:rPr>
            </w:pPr>
            <w:r>
              <w:rPr>
                <w:b/>
              </w:rPr>
              <w:t>ACTIVIDAD: Vamos a leer una noticia</w:t>
            </w:r>
          </w:p>
        </w:tc>
      </w:tr>
      <w:tr w:rsidR="001B1D8D" w:rsidTr="001B1D8D">
        <w:trPr>
          <w:trHeight w:val="459"/>
        </w:trPr>
        <w:tc>
          <w:tcPr>
            <w:tcW w:w="10392" w:type="dxa"/>
          </w:tcPr>
          <w:p w:rsidR="00BE0EAB" w:rsidRDefault="00BE0EAB" w:rsidP="009B548E">
            <w:r w:rsidRPr="00BE0EAB">
              <w:rPr>
                <w:b/>
                <w:sz w:val="28"/>
                <w:szCs w:val="28"/>
              </w:rPr>
              <w:t>Chile se sitúa como el sexto país con</w:t>
            </w:r>
            <w:r>
              <w:t xml:space="preserve"> </w:t>
            </w:r>
            <w:r w:rsidRPr="0003646E">
              <w:rPr>
                <w:b/>
                <w:sz w:val="28"/>
                <w:szCs w:val="28"/>
              </w:rPr>
              <w:t>más jóvenes “ninis” de la OCDE</w:t>
            </w:r>
          </w:p>
          <w:p w:rsidR="001B1D8D" w:rsidRDefault="00BE0EAB" w:rsidP="009B548E">
            <w:r>
              <w:t xml:space="preserve"> De acuerdo al informe “Panoramas de la sociedad 2016” de la OCDE, Chile tiene un 19% de población “ninis”, es decir, jóvenes de entre 15 a 29 años que no estudian ni trabajan. </w:t>
            </w:r>
          </w:p>
          <w:tbl>
            <w:tblPr>
              <w:tblStyle w:val="Tablaconcuadrcula"/>
              <w:tblW w:w="0" w:type="auto"/>
              <w:tblLook w:val="04A0" w:firstRow="1" w:lastRow="0" w:firstColumn="1" w:lastColumn="0" w:noHBand="0" w:noVBand="1"/>
            </w:tblPr>
            <w:tblGrid>
              <w:gridCol w:w="5083"/>
              <w:gridCol w:w="5083"/>
            </w:tblGrid>
            <w:tr w:rsidR="00BE0EAB" w:rsidTr="00BE0EAB">
              <w:tc>
                <w:tcPr>
                  <w:tcW w:w="5083" w:type="dxa"/>
                </w:tcPr>
                <w:p w:rsidR="00BE0EAB" w:rsidRDefault="00BE0EAB" w:rsidP="009B548E">
                  <w:pPr>
                    <w:rPr>
                      <w:b/>
                    </w:rPr>
                  </w:pPr>
                  <w:r>
                    <w:t>Este miércoles la Organización para la Cooperación y el Desarrollo Económico (OCDE) publicó el informe “Panoramas de la Sociedad 2016”, en donde analiza la situación de los países donde existen altas tasas de jóvenes de entre 15 a 29 años que no trabajan ni estudian, conocidos como “ninis”. En dicho estudio, Chile registró un 19% de “ninis”, quedando situado en el sexto lugar del listado de los países de la OCDE, pese a que su tasa de “ninis” disminuyó durante la última década.</w:t>
                  </w:r>
                </w:p>
              </w:tc>
              <w:tc>
                <w:tcPr>
                  <w:tcW w:w="5083" w:type="dxa"/>
                </w:tcPr>
                <w:p w:rsidR="00BE0EAB" w:rsidRDefault="00BE0EAB" w:rsidP="009B548E">
                  <w:pPr>
                    <w:rPr>
                      <w:b/>
                    </w:rPr>
                  </w:pPr>
                  <w:r>
                    <w:t>El informe arrojó que nuestro país tiene un 14% de “ninis” inactivos y existe un 15,3% de pobreza juvenil, cifra similar a la pobreza de los adultos mayores, de acuerdo a los antecedentes recopilados el año 2013 y que presenta el estudio actual. Además, el 60% de los “ninis” de Chile vive con sus padres y el 7,4% dice estar satisfecho con su vida. La OCDE explicó que “la parte de los jóvenes que no estudian ni trabajan aumentó en la mayoría de los países OCDE como consecuencia de la crisis económica”. 2</w:t>
                  </w:r>
                </w:p>
              </w:tc>
            </w:tr>
          </w:tbl>
          <w:p w:rsidR="00BE0EAB" w:rsidRDefault="0003646E" w:rsidP="009B548E">
            <w:pPr>
              <w:rPr>
                <w:b/>
              </w:rPr>
            </w:pPr>
            <w:r>
              <w:rPr>
                <w:b/>
              </w:rPr>
              <w:t>Actividad:</w:t>
            </w:r>
          </w:p>
          <w:p w:rsidR="0003646E" w:rsidRDefault="0003646E" w:rsidP="0003646E">
            <w:pPr>
              <w:pStyle w:val="Prrafodelista"/>
              <w:numPr>
                <w:ilvl w:val="0"/>
                <w:numId w:val="2"/>
              </w:numPr>
              <w:rPr>
                <w:b/>
              </w:rPr>
            </w:pPr>
            <w:r w:rsidRPr="0003646E">
              <w:rPr>
                <w:b/>
              </w:rPr>
              <w:t>Lee 2 veces la noticia</w:t>
            </w:r>
          </w:p>
          <w:p w:rsidR="0003646E" w:rsidRDefault="0003646E" w:rsidP="0003646E">
            <w:pPr>
              <w:pStyle w:val="Prrafodelista"/>
              <w:numPr>
                <w:ilvl w:val="0"/>
                <w:numId w:val="2"/>
              </w:numPr>
              <w:rPr>
                <w:b/>
              </w:rPr>
            </w:pPr>
            <w:r>
              <w:rPr>
                <w:b/>
              </w:rPr>
              <w:t>¿Qué importancia tiene el título?</w:t>
            </w:r>
          </w:p>
          <w:p w:rsidR="0003646E" w:rsidRDefault="0003646E" w:rsidP="0003646E">
            <w:pPr>
              <w:pStyle w:val="Prrafodelista"/>
              <w:numPr>
                <w:ilvl w:val="0"/>
                <w:numId w:val="2"/>
              </w:numPr>
              <w:rPr>
                <w:b/>
              </w:rPr>
            </w:pPr>
            <w:r>
              <w:rPr>
                <w:b/>
              </w:rPr>
              <w:t>¿Quiénes son los ninis?</w:t>
            </w:r>
          </w:p>
          <w:p w:rsidR="001B1D8D" w:rsidRPr="009D22A3" w:rsidRDefault="0003646E" w:rsidP="009D22A3">
            <w:pPr>
              <w:pStyle w:val="Prrafodelista"/>
              <w:numPr>
                <w:ilvl w:val="0"/>
                <w:numId w:val="2"/>
              </w:numPr>
              <w:rPr>
                <w:b/>
              </w:rPr>
            </w:pPr>
            <w:r>
              <w:rPr>
                <w:b/>
              </w:rPr>
              <w:t xml:space="preserve">¿Tú eres un “nini” Justifica tu respuesta </w:t>
            </w:r>
          </w:p>
          <w:p w:rsidR="001B1D8D" w:rsidRPr="0003646E" w:rsidRDefault="001B1D8D" w:rsidP="0003646E">
            <w:pPr>
              <w:spacing w:after="0" w:line="240" w:lineRule="auto"/>
              <w:rPr>
                <w:b/>
              </w:rPr>
            </w:pPr>
            <w:r w:rsidRPr="0003646E">
              <w:rPr>
                <w:b/>
              </w:rPr>
              <w:t xml:space="preserve">Si necesitas ayuda, escribe a mi correo que esta al principio de la guía. </w:t>
            </w:r>
          </w:p>
          <w:p w:rsidR="001B1D8D" w:rsidRDefault="001B1D8D" w:rsidP="009D22A3">
            <w:pPr>
              <w:pStyle w:val="Prrafodelista"/>
              <w:spacing w:after="0" w:line="240" w:lineRule="auto"/>
              <w:rPr>
                <w:b/>
              </w:rPr>
            </w:pPr>
            <w:r>
              <w:rPr>
                <w:b/>
              </w:rPr>
              <w:t xml:space="preserve">Finalmente envía tu </w:t>
            </w:r>
            <w:proofErr w:type="gramStart"/>
            <w:r>
              <w:rPr>
                <w:b/>
              </w:rPr>
              <w:t>trabajo  …</w:t>
            </w:r>
            <w:proofErr w:type="gramEnd"/>
            <w:r>
              <w:rPr>
                <w:b/>
              </w:rPr>
              <w:t xml:space="preserve"> </w:t>
            </w:r>
          </w:p>
          <w:p w:rsidR="009D22A3" w:rsidRPr="0084651B" w:rsidRDefault="009D22A3" w:rsidP="009D22A3">
            <w:pPr>
              <w:pStyle w:val="Prrafodelista"/>
              <w:spacing w:after="0" w:line="240" w:lineRule="auto"/>
              <w:rPr>
                <w:b/>
              </w:rPr>
            </w:pPr>
          </w:p>
        </w:tc>
      </w:tr>
    </w:tbl>
    <w:p w:rsidR="004E6FFB" w:rsidRDefault="004E6FFB"/>
    <w:sectPr w:rsidR="004E6FFB" w:rsidSect="009D22A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fficina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C93"/>
    <w:multiLevelType w:val="hybridMultilevel"/>
    <w:tmpl w:val="D7E270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62D0D84"/>
    <w:multiLevelType w:val="hybridMultilevel"/>
    <w:tmpl w:val="7C762F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8D"/>
    <w:rsid w:val="0003646E"/>
    <w:rsid w:val="001B1D8D"/>
    <w:rsid w:val="004E6FFB"/>
    <w:rsid w:val="009D22A3"/>
    <w:rsid w:val="00BE0E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DA68F3"/>
  <w15:chartTrackingRefBased/>
  <w15:docId w15:val="{D35F4BD4-D250-46E7-9A4B-BC5F3740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8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1D8D"/>
    <w:rPr>
      <w:color w:val="0563C1" w:themeColor="hyperlink"/>
      <w:u w:val="single"/>
    </w:rPr>
  </w:style>
  <w:style w:type="paragraph" w:styleId="Prrafodelista">
    <w:name w:val="List Paragraph"/>
    <w:basedOn w:val="Normal"/>
    <w:uiPriority w:val="34"/>
    <w:qFormat/>
    <w:rsid w:val="001B1D8D"/>
    <w:pPr>
      <w:ind w:left="720"/>
      <w:contextualSpacing/>
    </w:pPr>
  </w:style>
  <w:style w:type="table" w:styleId="Tablaconcuadrcula">
    <w:name w:val="Table Grid"/>
    <w:basedOn w:val="Tablanormal"/>
    <w:uiPriority w:val="59"/>
    <w:rsid w:val="001B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D2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237;a.martinez@liceo-victorinolastarria.c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Paola</cp:lastModifiedBy>
  <cp:revision>2</cp:revision>
  <dcterms:created xsi:type="dcterms:W3CDTF">2020-09-05T19:57:00Z</dcterms:created>
  <dcterms:modified xsi:type="dcterms:W3CDTF">2020-09-07T21:33:00Z</dcterms:modified>
</cp:coreProperties>
</file>